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9317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AA47A55">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2025年度法治甘肃省级课题选题指南</w:t>
      </w:r>
    </w:p>
    <w:p w14:paraId="734E1E6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（8个研究方向、39个建议选题）</w:t>
      </w:r>
    </w:p>
    <w:tbl>
      <w:tblPr>
        <w:tblStyle w:val="9"/>
        <w:tblW w:w="88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7150"/>
      </w:tblGrid>
      <w:tr w14:paraId="2587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5D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30"/>
                <w:szCs w:val="30"/>
                <w:u w:val="none"/>
                <w:lang w:val="en-US" w:eastAsia="zh-CN"/>
              </w:rPr>
            </w:pPr>
            <w:r>
              <w:rPr>
                <w:rFonts w:hint="eastAsia" w:ascii="仿宋_GB2312" w:hAnsi="仿宋_GB2312" w:eastAsia="仿宋_GB2312" w:cs="仿宋_GB2312"/>
                <w:b/>
                <w:bCs/>
                <w:i w:val="0"/>
                <w:iCs w:val="0"/>
                <w:color w:val="000000"/>
                <w:sz w:val="30"/>
                <w:szCs w:val="30"/>
                <w:u w:val="none"/>
                <w:lang w:val="en-US" w:eastAsia="zh-CN"/>
              </w:rPr>
              <w:t>研究方向</w:t>
            </w:r>
          </w:p>
        </w:tc>
        <w:tc>
          <w:tcPr>
            <w:tcW w:w="7150" w:type="dxa"/>
            <w:tcBorders>
              <w:top w:val="single" w:color="auto" w:sz="4" w:space="0"/>
              <w:left w:val="single" w:color="auto" w:sz="4" w:space="0"/>
              <w:bottom w:val="nil"/>
              <w:right w:val="single" w:color="auto" w:sz="4" w:space="0"/>
            </w:tcBorders>
            <w:shd w:val="clear" w:color="auto" w:fill="auto"/>
            <w:noWrap/>
            <w:vAlign w:val="center"/>
          </w:tcPr>
          <w:p w14:paraId="0F90B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建议选题</w:t>
            </w:r>
          </w:p>
        </w:tc>
      </w:tr>
      <w:tr w14:paraId="3A1A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C47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kern w:val="0"/>
                <w:sz w:val="28"/>
                <w:szCs w:val="28"/>
                <w:u w:val="none"/>
                <w:lang w:val="en-US" w:eastAsia="zh-CN" w:bidi="ar"/>
              </w:rPr>
              <w:t>习近平法治思想研究</w:t>
            </w:r>
          </w:p>
        </w:tc>
        <w:tc>
          <w:tcPr>
            <w:tcW w:w="7150" w:type="dxa"/>
            <w:tcBorders>
              <w:top w:val="single" w:color="000000" w:sz="4" w:space="0"/>
              <w:left w:val="single" w:color="auto" w:sz="4" w:space="0"/>
              <w:bottom w:val="single" w:color="000000" w:sz="4" w:space="0"/>
              <w:right w:val="single" w:color="auto" w:sz="4" w:space="0"/>
            </w:tcBorders>
            <w:shd w:val="clear" w:color="auto" w:fill="auto"/>
            <w:vAlign w:val="center"/>
          </w:tcPr>
          <w:p w14:paraId="2EADC3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sz w:val="28"/>
                <w:szCs w:val="28"/>
                <w:u w:val="none"/>
                <w:lang w:val="en-US" w:eastAsia="zh-CN"/>
              </w:rPr>
            </w:pPr>
            <w:r>
              <w:rPr>
                <w:rFonts w:hint="eastAsia" w:ascii="仿宋_GB2312" w:hAnsi="仿宋_GB2312" w:eastAsia="仿宋_GB2312" w:cs="仿宋_GB2312"/>
                <w:i w:val="0"/>
                <w:iCs w:val="0"/>
                <w:color w:val="auto"/>
                <w:spacing w:val="0"/>
                <w:sz w:val="28"/>
                <w:szCs w:val="28"/>
                <w:u w:val="none"/>
                <w:lang w:val="en-US" w:eastAsia="zh-CN"/>
              </w:rPr>
              <w:t>习近平法治思想在甘肃地方治理中的实践路径研究</w:t>
            </w:r>
          </w:p>
        </w:tc>
      </w:tr>
      <w:tr w14:paraId="001A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66FC9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auto" w:sz="4" w:space="0"/>
            </w:tcBorders>
            <w:shd w:val="clear" w:color="auto" w:fill="auto"/>
            <w:vAlign w:val="center"/>
          </w:tcPr>
          <w:p w14:paraId="0DAAAD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sz w:val="28"/>
                <w:szCs w:val="28"/>
                <w:u w:val="none"/>
                <w:lang w:val="en-US" w:eastAsia="zh-CN"/>
              </w:rPr>
            </w:pPr>
            <w:r>
              <w:rPr>
                <w:rFonts w:hint="eastAsia" w:ascii="仿宋_GB2312" w:hAnsi="仿宋_GB2312" w:eastAsia="仿宋_GB2312" w:cs="仿宋_GB2312"/>
                <w:i w:val="0"/>
                <w:iCs w:val="0"/>
                <w:color w:val="auto"/>
                <w:spacing w:val="0"/>
                <w:sz w:val="28"/>
                <w:szCs w:val="28"/>
                <w:u w:val="none"/>
                <w:lang w:val="en-US" w:eastAsia="zh-CN"/>
              </w:rPr>
              <w:t>习近平法治思想的应用属性与实践机理研究</w:t>
            </w:r>
          </w:p>
        </w:tc>
      </w:tr>
      <w:tr w14:paraId="1123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E77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kern w:val="0"/>
                <w:sz w:val="28"/>
                <w:szCs w:val="28"/>
                <w:u w:val="none"/>
                <w:lang w:val="en-US" w:eastAsia="zh-CN" w:bidi="ar"/>
              </w:rPr>
              <w:t>政法工作现代化研究</w:t>
            </w:r>
          </w:p>
        </w:tc>
        <w:tc>
          <w:tcPr>
            <w:tcW w:w="7150" w:type="dxa"/>
            <w:tcBorders>
              <w:top w:val="single" w:color="000000" w:sz="4" w:space="0"/>
              <w:left w:val="single" w:color="auto" w:sz="4" w:space="0"/>
              <w:bottom w:val="single" w:color="000000" w:sz="4" w:space="0"/>
              <w:right w:val="single" w:color="auto" w:sz="4" w:space="0"/>
            </w:tcBorders>
            <w:shd w:val="clear" w:color="auto" w:fill="auto"/>
            <w:vAlign w:val="center"/>
          </w:tcPr>
          <w:p w14:paraId="0C9FD3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民事执行全过程监督改革研究</w:t>
            </w:r>
          </w:p>
        </w:tc>
      </w:tr>
      <w:tr w14:paraId="7541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A68C1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auto" w:sz="4" w:space="0"/>
            </w:tcBorders>
            <w:shd w:val="clear" w:color="auto" w:fill="auto"/>
            <w:vAlign w:val="center"/>
          </w:tcPr>
          <w:p w14:paraId="455FC8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完善虚假诉讼防范、发现、惩治机制研究</w:t>
            </w:r>
          </w:p>
        </w:tc>
      </w:tr>
      <w:tr w14:paraId="69B3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DE670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auto" w:sz="4" w:space="0"/>
              <w:right w:val="single" w:color="auto" w:sz="4" w:space="0"/>
            </w:tcBorders>
            <w:shd w:val="clear" w:color="auto" w:fill="auto"/>
            <w:vAlign w:val="center"/>
          </w:tcPr>
          <w:p w14:paraId="404E97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人工智能赋能政法工作现代化的法治边界及规范研究</w:t>
            </w:r>
          </w:p>
        </w:tc>
      </w:tr>
      <w:tr w14:paraId="5F7B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F1E34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auto" w:sz="4" w:space="0"/>
              <w:left w:val="single" w:color="auto" w:sz="4" w:space="0"/>
              <w:bottom w:val="single" w:color="000000" w:sz="4" w:space="0"/>
              <w:right w:val="single" w:color="000000" w:sz="4" w:space="0"/>
            </w:tcBorders>
            <w:shd w:val="clear" w:color="auto" w:fill="auto"/>
            <w:vAlign w:val="center"/>
          </w:tcPr>
          <w:p w14:paraId="1E077F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“十五五”时期法治甘肃建设重点问题和实践路径研究</w:t>
            </w:r>
          </w:p>
        </w:tc>
      </w:tr>
      <w:tr w14:paraId="3371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6DA34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3B1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加强甘肃省重点领域、新兴领域、涉外领域立法研究</w:t>
            </w:r>
          </w:p>
        </w:tc>
      </w:tr>
      <w:tr w14:paraId="0BC6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41AAA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5AD3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数据产权民事确权机制对甘肃数字经济高质量发展的保障路径研究</w:t>
            </w:r>
          </w:p>
        </w:tc>
      </w:tr>
      <w:tr w14:paraId="65F1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C3692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375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乡村振兴战略下甘肃农村集体经济组织法人治理结构的民法典实现机制研究</w:t>
            </w:r>
          </w:p>
        </w:tc>
      </w:tr>
      <w:tr w14:paraId="36D5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728BB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8036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6"/>
                <w:kern w:val="0"/>
                <w:sz w:val="28"/>
                <w:szCs w:val="28"/>
                <w:u w:val="none"/>
                <w:lang w:val="en-US" w:eastAsia="zh-CN" w:bidi="ar"/>
              </w:rPr>
              <w:t>法治保障铸牢中华民族共同体意识教育常态化的路径研究</w:t>
            </w:r>
          </w:p>
        </w:tc>
      </w:tr>
      <w:tr w14:paraId="6752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CD2B4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3735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法治化营商环境司法保障机制研究</w:t>
            </w:r>
          </w:p>
        </w:tc>
      </w:tr>
      <w:tr w14:paraId="650D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74E6A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sz w:val="28"/>
                <w:szCs w:val="28"/>
                <w:u w:val="none"/>
              </w:rPr>
              <w:t>黄河流域生态保护研究</w:t>
            </w: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DBE3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加强黄河流域协同治理法治保障研究</w:t>
            </w:r>
          </w:p>
        </w:tc>
      </w:tr>
      <w:tr w14:paraId="350D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4C469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F0F7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甘肃省实施《黄河保护法》的成效评估及提升机制研究</w:t>
            </w:r>
          </w:p>
        </w:tc>
      </w:tr>
      <w:tr w14:paraId="2D2B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EEEB3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FE1A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认购林业碳汇替代生态修复的规范化路径研究</w:t>
            </w:r>
          </w:p>
        </w:tc>
      </w:tr>
      <w:tr w14:paraId="713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6EC66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lang w:val="en-US" w:eastAsia="zh-CN"/>
              </w:rPr>
            </w:pPr>
            <w:r>
              <w:rPr>
                <w:rFonts w:hint="eastAsia" w:ascii="仿宋_GB2312" w:hAnsi="仿宋_GB2312" w:eastAsia="仿宋_GB2312" w:cs="仿宋_GB2312"/>
                <w:i w:val="0"/>
                <w:iCs w:val="0"/>
                <w:color w:val="auto"/>
                <w:spacing w:val="0"/>
                <w:sz w:val="28"/>
                <w:szCs w:val="28"/>
                <w:u w:val="none"/>
              </w:rPr>
              <w:t>平安甘肃、法治甘肃建设研究</w:t>
            </w: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BC14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深化乡镇街道综合行政执法改革研究</w:t>
            </w:r>
          </w:p>
        </w:tc>
      </w:tr>
      <w:tr w14:paraId="1B6C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1D6B1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F7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将中华优秀传统法律文化融入司法实践研究</w:t>
            </w:r>
          </w:p>
        </w:tc>
      </w:tr>
      <w:tr w14:paraId="6A90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F9855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auto" w:sz="4" w:space="0"/>
              <w:bottom w:val="single" w:color="auto" w:sz="4" w:space="0"/>
              <w:right w:val="single" w:color="000000" w:sz="4" w:space="0"/>
            </w:tcBorders>
            <w:shd w:val="clear" w:color="auto" w:fill="auto"/>
            <w:vAlign w:val="center"/>
          </w:tcPr>
          <w:p w14:paraId="1CC97A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甘肃省公共安全领域共建共治共享的法治保障研究</w:t>
            </w:r>
          </w:p>
        </w:tc>
      </w:tr>
      <w:tr w14:paraId="0CDE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D1845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auto" w:sz="4" w:space="0"/>
              <w:left w:val="single" w:color="auto" w:sz="4" w:space="0"/>
              <w:bottom w:val="single" w:color="000000" w:sz="4" w:space="0"/>
              <w:right w:val="single" w:color="auto" w:sz="4" w:space="0"/>
            </w:tcBorders>
            <w:shd w:val="clear" w:color="auto" w:fill="auto"/>
            <w:vAlign w:val="center"/>
          </w:tcPr>
          <w:p w14:paraId="451033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推进更高水平的平安甘肃法治乡村建设研究</w:t>
            </w:r>
          </w:p>
        </w:tc>
      </w:tr>
      <w:tr w14:paraId="1DA7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bottom w:val="single" w:color="auto" w:sz="4" w:space="0"/>
              <w:right w:val="nil"/>
            </w:tcBorders>
            <w:shd w:val="clear" w:color="auto" w:fill="auto"/>
            <w:noWrap/>
            <w:vAlign w:val="center"/>
          </w:tcPr>
          <w:p w14:paraId="3A878BB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sz w:val="28"/>
                <w:szCs w:val="28"/>
                <w:u w:val="none"/>
              </w:rPr>
              <w:t>“一带一路”建设与涉外法治研究</w:t>
            </w:r>
          </w:p>
        </w:tc>
        <w:tc>
          <w:tcPr>
            <w:tcW w:w="7150" w:type="dxa"/>
            <w:tcBorders>
              <w:top w:val="single" w:color="000000" w:sz="4" w:space="0"/>
              <w:left w:val="single" w:color="000000" w:sz="4" w:space="0"/>
              <w:bottom w:val="single" w:color="000000" w:sz="4" w:space="0"/>
              <w:right w:val="single" w:color="auto" w:sz="4" w:space="0"/>
            </w:tcBorders>
            <w:shd w:val="clear" w:color="auto" w:fill="auto"/>
            <w:vAlign w:val="center"/>
          </w:tcPr>
          <w:p w14:paraId="71862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“一带一路”涉外法治建设研究</w:t>
            </w:r>
          </w:p>
        </w:tc>
      </w:tr>
      <w:tr w14:paraId="531E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nil"/>
            </w:tcBorders>
            <w:shd w:val="clear" w:color="auto" w:fill="auto"/>
            <w:noWrap/>
            <w:vAlign w:val="center"/>
          </w:tcPr>
          <w:p w14:paraId="1A8A20B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B5F0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“一带一路”背景下涉外法治人才培养模式研究</w:t>
            </w:r>
          </w:p>
        </w:tc>
      </w:tr>
      <w:tr w14:paraId="2CDD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nil"/>
            </w:tcBorders>
            <w:shd w:val="clear" w:color="auto" w:fill="auto"/>
            <w:noWrap/>
            <w:vAlign w:val="center"/>
          </w:tcPr>
          <w:p w14:paraId="271FC36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auto" w:sz="4" w:space="0"/>
            </w:tcBorders>
            <w:shd w:val="clear" w:color="auto" w:fill="auto"/>
            <w:vAlign w:val="center"/>
          </w:tcPr>
          <w:p w14:paraId="1AF6BA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中国能源企业在中亚投资利益保护研究</w:t>
            </w:r>
          </w:p>
        </w:tc>
      </w:tr>
      <w:tr w14:paraId="0DAB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top w:val="single" w:color="auto" w:sz="4" w:space="0"/>
              <w:left w:val="single" w:color="auto" w:sz="4" w:space="0"/>
              <w:bottom w:val="single" w:color="auto" w:sz="4" w:space="0"/>
              <w:right w:val="nil"/>
            </w:tcBorders>
            <w:shd w:val="clear" w:color="auto" w:fill="auto"/>
            <w:noWrap/>
            <w:vAlign w:val="center"/>
          </w:tcPr>
          <w:p w14:paraId="57CD961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8B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“一带一路”倡议下国际商事调解制度构建研究</w:t>
            </w:r>
          </w:p>
        </w:tc>
      </w:tr>
      <w:tr w14:paraId="3055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top w:val="single" w:color="auto" w:sz="4" w:space="0"/>
              <w:left w:val="single" w:color="auto" w:sz="4" w:space="0"/>
              <w:bottom w:val="single" w:color="auto" w:sz="4" w:space="0"/>
              <w:right w:val="nil"/>
            </w:tcBorders>
            <w:shd w:val="clear" w:color="auto" w:fill="auto"/>
            <w:noWrap/>
            <w:vAlign w:val="center"/>
          </w:tcPr>
          <w:p w14:paraId="73858A1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5F4A1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面向“一带一路”的甘肃跨境电商消费者权益民事救济特别规则研究</w:t>
            </w:r>
          </w:p>
        </w:tc>
      </w:tr>
      <w:tr w14:paraId="1153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1693" w:type="dxa"/>
            <w:vMerge w:val="restart"/>
            <w:tcBorders>
              <w:top w:val="single" w:color="auto" w:sz="4" w:space="0"/>
              <w:left w:val="single" w:color="auto" w:sz="4" w:space="0"/>
              <w:right w:val="nil"/>
            </w:tcBorders>
            <w:shd w:val="clear" w:color="auto" w:fill="auto"/>
            <w:noWrap/>
            <w:vAlign w:val="center"/>
          </w:tcPr>
          <w:p w14:paraId="66C219B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sz w:val="28"/>
                <w:szCs w:val="28"/>
                <w:u w:val="none"/>
              </w:rPr>
              <w:t>主动创安主动创稳实践和理论研究</w:t>
            </w:r>
          </w:p>
        </w:tc>
        <w:tc>
          <w:tcPr>
            <w:tcW w:w="7150" w:type="dxa"/>
            <w:tcBorders>
              <w:top w:val="single" w:color="000000" w:sz="4" w:space="0"/>
              <w:left w:val="single" w:color="000000" w:sz="4" w:space="0"/>
              <w:bottom w:val="single" w:color="auto" w:sz="4" w:space="0"/>
              <w:right w:val="single" w:color="auto" w:sz="4" w:space="0"/>
            </w:tcBorders>
            <w:shd w:val="clear" w:color="auto" w:fill="auto"/>
            <w:vAlign w:val="center"/>
          </w:tcPr>
          <w:p w14:paraId="7C37CB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罪错未成年人专门矫治教育研究</w:t>
            </w:r>
          </w:p>
        </w:tc>
      </w:tr>
      <w:tr w14:paraId="0777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1693" w:type="dxa"/>
            <w:vMerge w:val="continue"/>
            <w:tcBorders>
              <w:left w:val="single" w:color="auto" w:sz="4" w:space="0"/>
              <w:right w:val="nil"/>
            </w:tcBorders>
            <w:shd w:val="clear" w:color="auto" w:fill="auto"/>
            <w:noWrap/>
            <w:vAlign w:val="center"/>
          </w:tcPr>
          <w:p w14:paraId="2A38A10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7469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color w:val="auto"/>
                <w:spacing w:val="0"/>
                <w:kern w:val="2"/>
                <w:sz w:val="28"/>
                <w:szCs w:val="28"/>
                <w:lang w:val="en-US" w:eastAsia="zh-CN" w:bidi="ar"/>
              </w:rPr>
              <w:t>主动创稳视角下法学会基层服务站点参与矛盾纠纷源头化解的机制研究</w:t>
            </w:r>
          </w:p>
        </w:tc>
      </w:tr>
      <w:tr w14:paraId="561D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left w:val="single" w:color="auto" w:sz="4" w:space="0"/>
              <w:right w:val="nil"/>
            </w:tcBorders>
            <w:shd w:val="clear" w:color="auto" w:fill="auto"/>
            <w:noWrap/>
            <w:vAlign w:val="center"/>
          </w:tcPr>
          <w:p w14:paraId="47C0743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8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推进综治中心规范化建设实战化运行夯实主动创稳底板研究</w:t>
            </w:r>
          </w:p>
        </w:tc>
      </w:tr>
      <w:tr w14:paraId="367F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2575DB4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91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6"/>
                <w:kern w:val="0"/>
                <w:sz w:val="28"/>
                <w:szCs w:val="28"/>
                <w:u w:val="none"/>
                <w:lang w:val="en-US" w:eastAsia="zh-CN" w:bidi="ar"/>
              </w:rPr>
              <w:t>依托综治中心建立诉调对接、警调对接、访调对接机制研究</w:t>
            </w:r>
          </w:p>
        </w:tc>
      </w:tr>
      <w:tr w14:paraId="47BD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left w:val="single" w:color="auto" w:sz="4" w:space="0"/>
              <w:right w:val="nil"/>
            </w:tcBorders>
            <w:shd w:val="clear" w:color="auto" w:fill="auto"/>
            <w:noWrap/>
            <w:vAlign w:val="center"/>
          </w:tcPr>
          <w:p w14:paraId="365F483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主动创安主动创稳背景下的涉政法舆情风险防范应对机制研究</w:t>
            </w:r>
          </w:p>
        </w:tc>
      </w:tr>
      <w:tr w14:paraId="298F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7345AEB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D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主动创稳背景下的责任体系建设研究</w:t>
            </w:r>
          </w:p>
        </w:tc>
      </w:tr>
      <w:tr w14:paraId="2F08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3170DE7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8F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法治化创稳的价值意蕴与实践经验研究</w:t>
            </w:r>
          </w:p>
        </w:tc>
      </w:tr>
      <w:tr w14:paraId="69A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79AE9BA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B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未成年人再犯罪风险评估司法协同治理研究</w:t>
            </w:r>
          </w:p>
        </w:tc>
      </w:tr>
      <w:tr w14:paraId="3088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bottom w:val="single" w:color="auto" w:sz="4" w:space="0"/>
              <w:right w:val="nil"/>
            </w:tcBorders>
            <w:shd w:val="clear" w:color="auto" w:fill="auto"/>
            <w:noWrap/>
            <w:vAlign w:val="center"/>
          </w:tcPr>
          <w:p w14:paraId="65CD211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3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协同治理理论视角下肇事肇祸精神病人管理工作研究</w:t>
            </w:r>
          </w:p>
        </w:tc>
      </w:tr>
      <w:tr w14:paraId="28C4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restart"/>
            <w:tcBorders>
              <w:top w:val="single" w:color="auto" w:sz="4" w:space="0"/>
              <w:left w:val="single" w:color="auto" w:sz="4" w:space="0"/>
              <w:right w:val="nil"/>
            </w:tcBorders>
            <w:shd w:val="clear" w:color="auto" w:fill="auto"/>
            <w:noWrap/>
            <w:vAlign w:val="center"/>
          </w:tcPr>
          <w:p w14:paraId="0A68E4E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r>
              <w:rPr>
                <w:rFonts w:hint="eastAsia" w:ascii="仿宋_GB2312" w:hAnsi="仿宋_GB2312" w:eastAsia="仿宋_GB2312" w:cs="仿宋_GB2312"/>
                <w:i w:val="0"/>
                <w:iCs w:val="0"/>
                <w:color w:val="auto"/>
                <w:spacing w:val="0"/>
                <w:sz w:val="28"/>
                <w:szCs w:val="28"/>
                <w:u w:val="none"/>
              </w:rPr>
              <w:t>基层社会治理法治问题研究</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1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加强矛盾风险预防化解提升基层治理实效研究</w:t>
            </w:r>
          </w:p>
        </w:tc>
      </w:tr>
      <w:tr w14:paraId="168F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030313C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09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甘肃省少数民族地区基层社会治理法治化经验研究</w:t>
            </w:r>
          </w:p>
        </w:tc>
      </w:tr>
      <w:tr w14:paraId="02CC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6CC7FCF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96E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法学会基层服务站点规范化建议及职能作用发挥探析</w:t>
            </w:r>
          </w:p>
        </w:tc>
      </w:tr>
      <w:tr w14:paraId="4A8C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right w:val="nil"/>
            </w:tcBorders>
            <w:shd w:val="clear" w:color="auto" w:fill="auto"/>
            <w:noWrap/>
            <w:vAlign w:val="center"/>
          </w:tcPr>
          <w:p w14:paraId="480D215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法学专家融入基层社会治理的路径探析</w:t>
            </w:r>
          </w:p>
        </w:tc>
      </w:tr>
      <w:tr w14:paraId="0BA5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exact"/>
        </w:trPr>
        <w:tc>
          <w:tcPr>
            <w:tcW w:w="1693" w:type="dxa"/>
            <w:vMerge w:val="continue"/>
            <w:tcBorders>
              <w:left w:val="single" w:color="auto" w:sz="4" w:space="0"/>
              <w:right w:val="nil"/>
            </w:tcBorders>
            <w:shd w:val="clear" w:color="auto" w:fill="auto"/>
            <w:noWrap/>
            <w:vAlign w:val="center"/>
          </w:tcPr>
          <w:p w14:paraId="7F4ECF4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7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color w:val="auto"/>
                <w:spacing w:val="-6"/>
                <w:kern w:val="2"/>
                <w:sz w:val="28"/>
                <w:szCs w:val="28"/>
                <w:lang w:val="en-US" w:eastAsia="zh-CN" w:bidi="ar"/>
              </w:rPr>
              <w:t>法学会基层服务站点参与基层社会治理的路径与效能研究</w:t>
            </w:r>
          </w:p>
        </w:tc>
      </w:tr>
      <w:tr w14:paraId="56D7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693" w:type="dxa"/>
            <w:vMerge w:val="continue"/>
            <w:tcBorders>
              <w:left w:val="single" w:color="auto" w:sz="4" w:space="0"/>
              <w:right w:val="nil"/>
            </w:tcBorders>
            <w:shd w:val="clear" w:color="auto" w:fill="auto"/>
            <w:noWrap/>
            <w:vAlign w:val="center"/>
          </w:tcPr>
          <w:p w14:paraId="695556F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纵深推进教育改造、社区矫正、安置帮教、纠纷化解、法治宣传五项工作研究</w:t>
            </w:r>
          </w:p>
        </w:tc>
      </w:tr>
      <w:tr w14:paraId="29E4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93" w:type="dxa"/>
            <w:vMerge w:val="continue"/>
            <w:tcBorders>
              <w:left w:val="single" w:color="auto" w:sz="4" w:space="0"/>
              <w:bottom w:val="single" w:color="auto" w:sz="4" w:space="0"/>
              <w:right w:val="nil"/>
            </w:tcBorders>
            <w:shd w:val="clear" w:color="auto" w:fill="auto"/>
            <w:noWrap/>
            <w:vAlign w:val="center"/>
          </w:tcPr>
          <w:p w14:paraId="773B33A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pacing w:val="0"/>
                <w:sz w:val="28"/>
                <w:szCs w:val="28"/>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A8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i w:val="0"/>
                <w:iCs w:val="0"/>
                <w:color w:val="auto"/>
                <w:spacing w:val="0"/>
                <w:kern w:val="0"/>
                <w:sz w:val="28"/>
                <w:szCs w:val="28"/>
                <w:u w:val="none"/>
                <w:lang w:val="en-US" w:eastAsia="zh-CN" w:bidi="ar"/>
              </w:rPr>
            </w:pPr>
            <w:r>
              <w:rPr>
                <w:rFonts w:hint="eastAsia" w:ascii="仿宋_GB2312" w:hAnsi="仿宋_GB2312" w:eastAsia="仿宋_GB2312" w:cs="仿宋_GB2312"/>
                <w:i w:val="0"/>
                <w:iCs w:val="0"/>
                <w:color w:val="auto"/>
                <w:spacing w:val="0"/>
                <w:kern w:val="0"/>
                <w:sz w:val="28"/>
                <w:szCs w:val="28"/>
                <w:u w:val="none"/>
                <w:lang w:val="en-US" w:eastAsia="zh-CN" w:bidi="ar"/>
              </w:rPr>
              <w:t>治理欠薪问题法治化路径研究</w:t>
            </w:r>
          </w:p>
        </w:tc>
      </w:tr>
    </w:tbl>
    <w:p w14:paraId="780F530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黑体" w:hAnsi="黑体" w:eastAsia="黑体" w:cs="黑体"/>
          <w:color w:val="000000"/>
          <w:kern w:val="0"/>
          <w:sz w:val="32"/>
          <w:szCs w:val="32"/>
          <w:lang w:val="en-US" w:eastAsia="zh-CN" w:bidi="ar"/>
        </w:rPr>
      </w:pPr>
      <w:bookmarkStart w:id="0" w:name="_GoBack"/>
      <w:bookmarkEnd w:id="0"/>
    </w:p>
    <w:sectPr>
      <w:footerReference r:id="rId3" w:type="default"/>
      <w:pgSz w:w="11906" w:h="16838"/>
      <w:pgMar w:top="1587" w:right="1531" w:bottom="1531" w:left="1531" w:header="1247"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87755-16BD-4F0F-9568-127A9C4B7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5C45761-23CC-41F7-B71C-AF17F93FBD1C}"/>
  </w:font>
  <w:font w:name="仿宋_GB2312">
    <w:panose1 w:val="02010609030101010101"/>
    <w:charset w:val="86"/>
    <w:family w:val="auto"/>
    <w:pitch w:val="default"/>
    <w:sig w:usb0="00000001" w:usb1="080E0000" w:usb2="00000000" w:usb3="00000000" w:csb0="00040000" w:csb1="00000000"/>
    <w:embedRegular r:id="rId3" w:fontKey="{896D77A6-A72D-49A7-B6D2-2552B1B456D2}"/>
  </w:font>
  <w:font w:name="楷体_GB2312">
    <w:panose1 w:val="02010609030101010101"/>
    <w:charset w:val="86"/>
    <w:family w:val="auto"/>
    <w:pitch w:val="default"/>
    <w:sig w:usb0="00000001" w:usb1="080E0000" w:usb2="00000000" w:usb3="00000000" w:csb0="00040000" w:csb1="00000000"/>
    <w:embedRegular r:id="rId4" w:fontKey="{B8BCEC46-E3B9-4E9B-B055-1D943B54DD95}"/>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02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37C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0B37C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zEzYWE5YjQ5ZGM5ZTU2MzI1ZWFjN2FjMjk1NGIifQ=="/>
  </w:docVars>
  <w:rsids>
    <w:rsidRoot w:val="00000000"/>
    <w:rsid w:val="00921F00"/>
    <w:rsid w:val="017F1D2B"/>
    <w:rsid w:val="02932377"/>
    <w:rsid w:val="0361265C"/>
    <w:rsid w:val="04C176DC"/>
    <w:rsid w:val="056C515E"/>
    <w:rsid w:val="0638351E"/>
    <w:rsid w:val="0A8068C8"/>
    <w:rsid w:val="0BBF2615"/>
    <w:rsid w:val="0DC76710"/>
    <w:rsid w:val="0E3A0975"/>
    <w:rsid w:val="0E46377B"/>
    <w:rsid w:val="0E4F7C80"/>
    <w:rsid w:val="111F4B3B"/>
    <w:rsid w:val="1C651593"/>
    <w:rsid w:val="20AC5329"/>
    <w:rsid w:val="21160797"/>
    <w:rsid w:val="257F3613"/>
    <w:rsid w:val="27AF5D67"/>
    <w:rsid w:val="27B37194"/>
    <w:rsid w:val="2B886BD4"/>
    <w:rsid w:val="2D005CE3"/>
    <w:rsid w:val="2E615B1A"/>
    <w:rsid w:val="31117D08"/>
    <w:rsid w:val="31BB1005"/>
    <w:rsid w:val="32925A1F"/>
    <w:rsid w:val="32D80F55"/>
    <w:rsid w:val="336B0809"/>
    <w:rsid w:val="371116C7"/>
    <w:rsid w:val="37C75C12"/>
    <w:rsid w:val="382E3037"/>
    <w:rsid w:val="38D33B52"/>
    <w:rsid w:val="3C0417FB"/>
    <w:rsid w:val="3CE04016"/>
    <w:rsid w:val="3E407AAF"/>
    <w:rsid w:val="42FC0372"/>
    <w:rsid w:val="443A2CCB"/>
    <w:rsid w:val="45154265"/>
    <w:rsid w:val="46965745"/>
    <w:rsid w:val="48CE7418"/>
    <w:rsid w:val="4B7778F3"/>
    <w:rsid w:val="4BCB5E91"/>
    <w:rsid w:val="4C0F5757"/>
    <w:rsid w:val="4D0D30C2"/>
    <w:rsid w:val="4EB5692F"/>
    <w:rsid w:val="4F9A0054"/>
    <w:rsid w:val="50532ED8"/>
    <w:rsid w:val="52FD3949"/>
    <w:rsid w:val="5382202D"/>
    <w:rsid w:val="5389049C"/>
    <w:rsid w:val="559F77BA"/>
    <w:rsid w:val="572A6162"/>
    <w:rsid w:val="59890407"/>
    <w:rsid w:val="5A833B8D"/>
    <w:rsid w:val="5A8C48EF"/>
    <w:rsid w:val="5B5A2D8E"/>
    <w:rsid w:val="5B8B1199"/>
    <w:rsid w:val="5BAB5985"/>
    <w:rsid w:val="5BFE219A"/>
    <w:rsid w:val="5C7A28D5"/>
    <w:rsid w:val="5D5C2CD4"/>
    <w:rsid w:val="5E567D56"/>
    <w:rsid w:val="5F43078B"/>
    <w:rsid w:val="604F09E7"/>
    <w:rsid w:val="607751B7"/>
    <w:rsid w:val="61343606"/>
    <w:rsid w:val="61CA737D"/>
    <w:rsid w:val="61F950AE"/>
    <w:rsid w:val="627B3D15"/>
    <w:rsid w:val="63082288"/>
    <w:rsid w:val="64053424"/>
    <w:rsid w:val="6466504B"/>
    <w:rsid w:val="65C22480"/>
    <w:rsid w:val="65ED6B48"/>
    <w:rsid w:val="67E06C40"/>
    <w:rsid w:val="6AD207B2"/>
    <w:rsid w:val="6C0D4AD4"/>
    <w:rsid w:val="6E594337"/>
    <w:rsid w:val="71AE56D4"/>
    <w:rsid w:val="76770FC4"/>
    <w:rsid w:val="76A333E3"/>
    <w:rsid w:val="7A566842"/>
    <w:rsid w:val="7BAC4AE8"/>
    <w:rsid w:val="7CC962C6"/>
    <w:rsid w:val="7D276660"/>
    <w:rsid w:val="7DFE2E40"/>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3">
    <w:name w:val="_Style 2"/>
    <w:autoRedefine/>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5">
    <w:name w:val="Body Text"/>
    <w:basedOn w:val="1"/>
    <w:next w:val="1"/>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styleId="14">
    <w:name w:val="HTML Code"/>
    <w:basedOn w:val="11"/>
    <w:qFormat/>
    <w:uiPriority w:val="0"/>
    <w:rPr>
      <w:rFonts w:ascii="Courier New" w:hAnsi="Courier New"/>
      <w:sz w:val="20"/>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40"/>
      <w:szCs w:val="4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5219</Words>
  <Characters>5426</Characters>
  <Lines>0</Lines>
  <Paragraphs>0</Paragraphs>
  <TotalTime>19</TotalTime>
  <ScaleCrop>false</ScaleCrop>
  <LinksUpToDate>false</LinksUpToDate>
  <CharactersWithSpaces>5777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2024-01-17T10:15:00Z</dcterms:created>
  <dc:creator>Administrator.DESKTOP-Q9JF7CH</dc:creator>
  <cp:lastModifiedBy>风 </cp:lastModifiedBy>
  <cp:lastPrinted>2025-10-14T07:50:00Z</cp:lastPrinted>
  <dcterms:modified xsi:type="dcterms:W3CDTF">2025-10-24T08:58:35Z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CF0C50825C41401A8E402E5C89739C7B_13</vt:lpwstr>
  </property>
  <property fmtid="{D5CDD505-2E9C-101B-9397-08002B2CF9AE}" pid="4" name="KSOTemplateDocerSaveRecord">
    <vt:lpwstr>eyJoZGlkIjoiMzY5NmRmNWM4MzI2Y2Q5ZWRmYjgzOGNhZTY3OTQxYzYiLCJ1c2VySWQiOiI0NDc0OTQ2NjIifQ==</vt:lpwstr>
  </property>
</Properties>
</file>